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C0E70">
      <w:pPr>
        <w:widowControl/>
        <w:ind w:firstLine="321" w:firstLineChars="1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景德镇市市级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储备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成品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油公开竞价采购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及轮换协议</w:t>
      </w:r>
    </w:p>
    <w:p w14:paraId="0B0BA961">
      <w:pPr>
        <w:widowControl/>
        <w:ind w:firstLine="48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 w14:paraId="708F4195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甲方：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江西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景德镇国家粮食储备库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（以下简称甲方）</w:t>
      </w:r>
    </w:p>
    <w:p w14:paraId="52BF273A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乙方：                           （以下简称乙方）</w:t>
      </w:r>
    </w:p>
    <w:p w14:paraId="5DC0B4B4">
      <w:pPr>
        <w:widowControl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根据景农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字</w:t>
      </w: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/>
        </w:rPr>
        <w:t>〔2025〕38号《关于下达2025年度市级储备成品油轮换计划的批复》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文件精神，甲方于  年  月 日通过南昌国家粮食交易中心公开竞价采购   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万公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斤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市级储备小包装成品食用油，现根据招标公告信息和竞价成交结果，由采购方（甲方）与中标方（乙方）就景德镇市市级储备成品油采购及轮换事宜签订本协议：</w:t>
      </w:r>
    </w:p>
    <w:p w14:paraId="147056F5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eastAsia="zh-CN"/>
        </w:rPr>
        <w:t>轮入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标的物情况、质量要求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eastAsia="zh-CN"/>
        </w:rPr>
        <w:t>、价格及金额</w:t>
      </w:r>
    </w:p>
    <w:p w14:paraId="5047527B"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品种名称：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一级大豆油</w:t>
      </w:r>
    </w:p>
    <w:p w14:paraId="78649DD5">
      <w:pPr>
        <w:widowControl/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生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产年份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及日期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以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后生产（保质期18个月）；</w:t>
      </w:r>
    </w:p>
    <w:p w14:paraId="12ADBF36"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包 装 物：生产厂家标准包装、包装完好；</w:t>
      </w:r>
    </w:p>
    <w:p w14:paraId="666DE6CB"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储存地点：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景德镇国家粮食储备库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仓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号货位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；</w:t>
      </w:r>
    </w:p>
    <w:p w14:paraId="16CDCC48">
      <w:pPr>
        <w:widowControl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质量要求：按GB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/T1536-2021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及国家有关标准执行；</w:t>
      </w:r>
    </w:p>
    <w:p w14:paraId="1FBAA172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二、成交后的货物交割办法</w:t>
      </w:r>
    </w:p>
    <w:p w14:paraId="690127F9">
      <w:pPr>
        <w:widowControl/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1、交货时间：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自合同成交之日起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20日内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完成入库。</w:t>
      </w:r>
    </w:p>
    <w:p w14:paraId="4E6FB2B3">
      <w:pPr>
        <w:widowControl/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2、交货地点：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景德镇国家粮食储备库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仓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号货位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。</w:t>
      </w:r>
    </w:p>
    <w:p w14:paraId="4B3ACA99">
      <w:pPr>
        <w:widowControl/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3、交货方式：仓库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车板交货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，运费、入库费用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装卸费、发票税费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等均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由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乙方承担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。</w:t>
      </w:r>
    </w:p>
    <w:p w14:paraId="630AD929">
      <w:pPr>
        <w:widowControl/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4、验收办法：</w:t>
      </w:r>
    </w:p>
    <w:p w14:paraId="1A4890E4"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入库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质量由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甲、乙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双方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和市农业农村局等相关部门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现场抽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样，并委托具有检验资质的第三方进行检验；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入库数量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库点仓库内点件入库为准。 </w:t>
      </w:r>
    </w:p>
    <w:p w14:paraId="242A25D9"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（2）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乙方需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提供轮入食用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成品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出厂质量检验合格报告单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合法进货渠道证明。</w:t>
      </w:r>
    </w:p>
    <w:p w14:paraId="49CC7DBD">
      <w:pPr>
        <w:widowControl/>
        <w:shd w:val="clear" w:color="auto" w:fill="FFFFFF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5、货款结算方式：双方自行结算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。</w:t>
      </w:r>
    </w:p>
    <w:p w14:paraId="42BFC27E">
      <w:pPr>
        <w:widowControl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（1）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竞价成交后，甲方根据成交结果向农发行申请贷款。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待甲方贷款资金到位，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先预付总合同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价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款的30%给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乙方用于市级储备油的采购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后续货款根据实际入库进度支付，待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 xml:space="preserve">   万公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斤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储备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油全部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入库后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再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向乙方支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付合同总款的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0%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待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第三方检验合格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后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凭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具有资质的第三方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出具的质检报告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和乙方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提供完备的相关正式发票等所有手续，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甲方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付清10%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余款。</w:t>
      </w:r>
    </w:p>
    <w:p w14:paraId="3CC05BCE">
      <w:pPr>
        <w:widowControl/>
        <w:ind w:firstLine="48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（2）若检验不合格（或部分数量检测不合格），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乙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方需在一个月内用同等数量相同品种符合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交易公告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约定质量要求的食用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成品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油更换检验不合格的食用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成品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油，由此产生的一切责任和损失由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乙方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承担。</w:t>
      </w:r>
    </w:p>
    <w:p w14:paraId="760D02BA">
      <w:pPr>
        <w:widowControl/>
        <w:shd w:val="clear" w:color="auto" w:fill="FFFFFF"/>
        <w:ind w:firstLine="602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三、其它说明：</w:t>
      </w:r>
    </w:p>
    <w:p w14:paraId="2328732D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1、本次竞价交易的底价及成交价均指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/>
        </w:rPr>
        <w:t>送到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/>
          <w:lang w:eastAsia="zh-CN"/>
        </w:rPr>
        <w:t>甲方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none"/>
        </w:rPr>
        <w:t>指定交货仓房的价格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。2、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为确保市级储备成品油在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保质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期内顺利轮出，本次采购的市级储备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成品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油采取中标方保底轮出的轮换模式，即：</w:t>
      </w:r>
    </w:p>
    <w:p w14:paraId="550B15D7">
      <w:pPr>
        <w:pStyle w:val="2"/>
        <w:ind w:left="0" w:leftChars="0"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）本次轮入的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市级成品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油，在储存期限距生产日期达到六至八个月左右时，结合库存储备油的储存时限，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原则上会以南昌国家粮食交易中心同等质量销售中标价为参考，报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市发改委、市农业农村局、市财政局和市农发行等有关部门研究确定拍卖底价后，将该批储备成品油通过粮油交易市场拍卖轮出，原轮入时的中标方（乙方）必须参与该批储备油的轮出，进行竞价回购。竞价过程中，如其他参与者中标，以竞拍出价最高者竞得。</w:t>
      </w:r>
    </w:p>
    <w:p w14:paraId="46120E2C">
      <w:pPr>
        <w:pStyle w:val="2"/>
        <w:ind w:left="0" w:leftChars="0"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）轮入完成后，乙方需预付轮入中标总价款的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5%作为押金，用于甲方下次轮出时乙方参与竞价回购的保证金，以确保市级储备成品油顺利轮出。甲方储备油轮出时，若乙方按本协议要求参与回购，则乙方回购保证金在甲方轮出成交后三个工作日内无息退还乙方。若乙方不按本协议要求参与回购，则甲方没收乙方回购保证金。</w:t>
      </w:r>
    </w:p>
    <w:p w14:paraId="1036747C">
      <w:pPr>
        <w:pStyle w:val="2"/>
        <w:ind w:left="0" w:leftChars="0"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四、本协议未尽事宜，由甲乙双方协商解决。</w:t>
      </w:r>
    </w:p>
    <w:p w14:paraId="13DCF32B">
      <w:pPr>
        <w:pStyle w:val="2"/>
        <w:ind w:left="0" w:leftChars="0"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五、本协议一式二份，甲乙双方各执一份， </w:t>
      </w:r>
    </w:p>
    <w:p w14:paraId="76BAB576">
      <w:pPr>
        <w:pStyle w:val="2"/>
        <w:ind w:left="0" w:leftChars="0"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六、本协议自签订之日起生效。</w:t>
      </w:r>
    </w:p>
    <w:p w14:paraId="78210BC0">
      <w:pPr>
        <w:pStyle w:val="2"/>
        <w:ind w:left="0" w:leftChars="0"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</w:p>
    <w:p w14:paraId="649815F4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  <w:t>甲方（盖章）：________　　　  乙方（盖章）：________</w:t>
      </w:r>
    </w:p>
    <w:p w14:paraId="2BF290A6"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</w:pPr>
    </w:p>
    <w:p w14:paraId="19362563">
      <w:pPr>
        <w:spacing w:line="440" w:lineRule="exact"/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  <w:t>签约代表（签字）：_______　   签约代表（签字）：______</w:t>
      </w:r>
      <w:r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  <w:t>　　</w:t>
      </w:r>
    </w:p>
    <w:p w14:paraId="04B74708"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  <w:t>　　</w:t>
      </w:r>
    </w:p>
    <w:p w14:paraId="33C5C31C">
      <w:pPr>
        <w:spacing w:line="440" w:lineRule="exact"/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1"/>
          <w:sz w:val="30"/>
          <w:szCs w:val="30"/>
          <w:lang w:val="en-US" w:eastAsia="zh-CN" w:bidi="ar-SA"/>
        </w:rPr>
        <w:t>　　   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GUzYzc5YzVjZTg4NjVmNTM5OTU1YjIxOTRiZWIifQ=="/>
  </w:docVars>
  <w:rsids>
    <w:rsidRoot w:val="00A11E5C"/>
    <w:rsid w:val="00A11E5C"/>
    <w:rsid w:val="02D33214"/>
    <w:rsid w:val="06563685"/>
    <w:rsid w:val="0AB76D5C"/>
    <w:rsid w:val="0C2C0ABE"/>
    <w:rsid w:val="0CD8573D"/>
    <w:rsid w:val="0D54146A"/>
    <w:rsid w:val="0E5C414B"/>
    <w:rsid w:val="111F4200"/>
    <w:rsid w:val="11740CC6"/>
    <w:rsid w:val="12771554"/>
    <w:rsid w:val="133D6574"/>
    <w:rsid w:val="15F603F0"/>
    <w:rsid w:val="16E42E30"/>
    <w:rsid w:val="17123F41"/>
    <w:rsid w:val="17450EB9"/>
    <w:rsid w:val="176C656D"/>
    <w:rsid w:val="17AF1790"/>
    <w:rsid w:val="183730C7"/>
    <w:rsid w:val="1856197C"/>
    <w:rsid w:val="19E648FD"/>
    <w:rsid w:val="1B6E4C1C"/>
    <w:rsid w:val="1F9E2816"/>
    <w:rsid w:val="1FB40B92"/>
    <w:rsid w:val="20880DD0"/>
    <w:rsid w:val="225545DC"/>
    <w:rsid w:val="24A42678"/>
    <w:rsid w:val="26EB328A"/>
    <w:rsid w:val="29A31B0D"/>
    <w:rsid w:val="2A167434"/>
    <w:rsid w:val="2A2F5D8D"/>
    <w:rsid w:val="2B0F6376"/>
    <w:rsid w:val="2D1C2FCC"/>
    <w:rsid w:val="2D9C2893"/>
    <w:rsid w:val="2EE26967"/>
    <w:rsid w:val="30142680"/>
    <w:rsid w:val="326A4C5E"/>
    <w:rsid w:val="341E6C5A"/>
    <w:rsid w:val="3C9E39FD"/>
    <w:rsid w:val="3F753408"/>
    <w:rsid w:val="3FCB5038"/>
    <w:rsid w:val="407E15C6"/>
    <w:rsid w:val="433818EC"/>
    <w:rsid w:val="4393227A"/>
    <w:rsid w:val="45C864B7"/>
    <w:rsid w:val="475573AE"/>
    <w:rsid w:val="486F394C"/>
    <w:rsid w:val="48B44BD8"/>
    <w:rsid w:val="4AE33F8A"/>
    <w:rsid w:val="4E980D88"/>
    <w:rsid w:val="54B90F7D"/>
    <w:rsid w:val="559612BE"/>
    <w:rsid w:val="5612303A"/>
    <w:rsid w:val="568455BA"/>
    <w:rsid w:val="589E4F1E"/>
    <w:rsid w:val="5AA52F4E"/>
    <w:rsid w:val="5C914B35"/>
    <w:rsid w:val="5D1D4119"/>
    <w:rsid w:val="5F625001"/>
    <w:rsid w:val="5FF27A39"/>
    <w:rsid w:val="60B7767B"/>
    <w:rsid w:val="60F01603"/>
    <w:rsid w:val="60FD0443"/>
    <w:rsid w:val="61E77E09"/>
    <w:rsid w:val="62236325"/>
    <w:rsid w:val="639F7CB0"/>
    <w:rsid w:val="686C5081"/>
    <w:rsid w:val="691D6538"/>
    <w:rsid w:val="6F064C35"/>
    <w:rsid w:val="72485159"/>
    <w:rsid w:val="73CF6D17"/>
    <w:rsid w:val="75706FDE"/>
    <w:rsid w:val="75734D20"/>
    <w:rsid w:val="758A35D2"/>
    <w:rsid w:val="771265BE"/>
    <w:rsid w:val="77823761"/>
    <w:rsid w:val="78543EE5"/>
    <w:rsid w:val="78B42665"/>
    <w:rsid w:val="7AB02AD2"/>
    <w:rsid w:val="7B7E0094"/>
    <w:rsid w:val="7B851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outlineLvl w:val="0"/>
    </w:pPr>
    <w:rPr>
      <w:rFonts w:ascii="宋体" w:hAnsi="宋体"/>
      <w:sz w:val="28"/>
    </w:rPr>
  </w:style>
  <w:style w:type="paragraph" w:styleId="6">
    <w:name w:val="heading 2"/>
    <w:basedOn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  <w:rPr>
      <w:kern w:val="1"/>
      <w:lang w:val="zh-CN"/>
    </w:rPr>
  </w:style>
  <w:style w:type="paragraph" w:styleId="4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/>
      <w:kern w:val="0"/>
      <w:sz w:val="22"/>
      <w:szCs w:val="2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1296</Words>
  <Characters>1370</Characters>
  <Lines>25</Lines>
  <Paragraphs>7</Paragraphs>
  <TotalTime>151</TotalTime>
  <ScaleCrop>false</ScaleCrop>
  <LinksUpToDate>false</LinksUpToDate>
  <CharactersWithSpaces>1426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2022-06-13T01:33:00Z</dcterms:created>
  <dc:creator>Windows</dc:creator>
  <cp:lastModifiedBy>心如止水</cp:lastModifiedBy>
  <cp:lastPrinted>2025-06-27T03:06:44Z</cp:lastPrinted>
  <dcterms:modified xsi:type="dcterms:W3CDTF">2025-06-27T03:27:01Z</dcterms:modified>
  <dc:title>[温州]5月20日泰顺县粮食收储有限公司储备油公开竞价采购公告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6BA376A863F6488493101BB6283664AA_13</vt:lpwstr>
  </property>
  <property fmtid="{D5CDD505-2E9C-101B-9397-08002B2CF9AE}" pid="4" name="KSOTemplateDocerSaveRecord">
    <vt:lpwstr>eyJoZGlkIjoiNWY0MGUzYzc5YzVjZTg4NjVmNTM5OTU1YjIxOTRiZWIiLCJ1c2VySWQiOiIyMzk0ODkzODMifQ==</vt:lpwstr>
  </property>
</Properties>
</file>